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CAF4" w14:textId="291475AD" w:rsidR="0084773A" w:rsidRDefault="00B15EBC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</w:pPr>
      <w:bookmarkStart w:id="0" w:name="_Hlk102066637"/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East of England</w:t>
      </w:r>
      <w:r w:rsidR="00B9590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: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 xml:space="preserve"> </w:t>
      </w:r>
      <w:r w:rsidR="008C615F" w:rsidRPr="00303D4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 xml:space="preserve">Complications </w:t>
      </w:r>
      <w:r w:rsidR="00B9590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from</w:t>
      </w:r>
      <w:r w:rsidR="008C615F" w:rsidRPr="00303D4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 xml:space="preserve"> Excess Weight</w:t>
      </w:r>
      <w:r w:rsidR="00E17A1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 xml:space="preserve"> (CEW</w:t>
      </w:r>
      <w:r w:rsidR="008C615F" w:rsidRPr="00303D4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) Clinic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s</w:t>
      </w:r>
      <w:r w:rsidR="00B0390D" w:rsidRPr="00303D4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 xml:space="preserve"> </w:t>
      </w:r>
      <w:r w:rsidR="00B9590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for Children</w:t>
      </w:r>
    </w:p>
    <w:p w14:paraId="5ED23AE1" w14:textId="20632BBB" w:rsidR="008C615F" w:rsidRPr="00303D4B" w:rsidRDefault="0084773A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lay</w:t>
      </w:r>
      <w:proofErr w:type="gramEnd"/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 xml:space="preserve"> title: </w:t>
      </w:r>
      <w:r w:rsidRPr="00A218CC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4"/>
          <w:bdr w:val="none" w:sz="0" w:space="0" w:color="auto" w:frame="1"/>
          <w:lang w:eastAsia="en-GB"/>
        </w:rPr>
        <w:t>Healthy Futures Inspiring Change</w:t>
      </w:r>
      <w:r w:rsidR="00B9590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)</w:t>
      </w:r>
    </w:p>
    <w:bookmarkEnd w:id="0"/>
    <w:p w14:paraId="4229B0C4" w14:textId="77777777" w:rsidR="008C615F" w:rsidRPr="00303D4B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303D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 </w:t>
      </w:r>
    </w:p>
    <w:p w14:paraId="3AEF148E" w14:textId="2D0C2DE5" w:rsidR="008C615F" w:rsidRPr="00064723" w:rsidRDefault="00B15EBC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B15EBC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This 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new service is</w:t>
      </w:r>
      <w:r w:rsidRPr="00B15EBC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for children and young people </w:t>
      </w:r>
      <w:r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aged 2</w:t>
      </w:r>
      <w:r w:rsidR="00EC4222"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="00834214"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up</w:t>
      </w:r>
      <w:r w:rsidR="00B877B0"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to 1</w:t>
      </w:r>
      <w:r w:rsidR="00DD19A9"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7</w:t>
      </w:r>
      <w:r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E31FFD"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birthday</w:t>
      </w:r>
      <w:r w:rsidRPr="00B15EBC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with significant health problems related to obesity as part of a 2-year NHS</w:t>
      </w:r>
      <w:r w:rsidR="00B30E27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B15EBC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England pilot.</w:t>
      </w:r>
      <w:r w:rsidR="00E31FFD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="008C615F" w:rsidRPr="00064723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The </w:t>
      </w:r>
      <w:r w:rsidR="0084773A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service will be provided by </w:t>
      </w:r>
      <w:r w:rsidR="00B0390D" w:rsidRPr="00064723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2</w:t>
      </w:r>
      <w:r w:rsidR="008C615F" w:rsidRPr="00064723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centres:</w:t>
      </w:r>
    </w:p>
    <w:p w14:paraId="66E1DBD5" w14:textId="5B1D1604" w:rsidR="008C615F" w:rsidRPr="00064723" w:rsidRDefault="00B0390D" w:rsidP="008C615F">
      <w:pPr>
        <w:numPr>
          <w:ilvl w:val="0"/>
          <w:numId w:val="1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064723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Norfolk and Norwich Hospital</w:t>
      </w:r>
    </w:p>
    <w:p w14:paraId="0B590300" w14:textId="3FE61DC8" w:rsidR="00B0390D" w:rsidRPr="00064723" w:rsidRDefault="00B0390D" w:rsidP="008C615F">
      <w:pPr>
        <w:numPr>
          <w:ilvl w:val="0"/>
          <w:numId w:val="1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064723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Addenbrookes Hospital</w:t>
      </w:r>
      <w:r w:rsidR="0084773A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, Cambridge</w:t>
      </w:r>
    </w:p>
    <w:p w14:paraId="01BB64DB" w14:textId="77777777" w:rsidR="008C615F" w:rsidRPr="00064723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064723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> </w:t>
      </w:r>
    </w:p>
    <w:p w14:paraId="0D18DD4F" w14:textId="72F2CC0B" w:rsidR="008C615F" w:rsidRPr="00303D4B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</w:pPr>
      <w:r w:rsidRPr="00303D4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Who is eligible?</w:t>
      </w:r>
    </w:p>
    <w:p w14:paraId="7903EC06" w14:textId="77777777" w:rsidR="00E31FFD" w:rsidRPr="00B95907" w:rsidRDefault="00E31FFD" w:rsidP="00E31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Key referral criteria (must meet all 3):</w:t>
      </w:r>
    </w:p>
    <w:p w14:paraId="26829DBD" w14:textId="783BC9F2" w:rsidR="00E31FFD" w:rsidRPr="00B95907" w:rsidRDefault="00E31FFD" w:rsidP="00E31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1.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C</w:t>
      </w:r>
      <w:r w:rsidRPr="00B15EBC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hild 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or </w:t>
      </w:r>
      <w:r w:rsidRPr="00B15EBC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young p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erson (CYP)</w:t>
      </w:r>
      <w:r w:rsidRPr="00064723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AB10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aged 2-16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with s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evere obesity</w:t>
      </w:r>
    </w:p>
    <w:p w14:paraId="7BEA235D" w14:textId="77777777" w:rsidR="00E31FFD" w:rsidRPr="00B95907" w:rsidRDefault="00E31FFD" w:rsidP="00E31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2.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ab/>
        <w:t xml:space="preserve">Significant obesity-related comorbidity that would benefit from weight loss </w:t>
      </w:r>
    </w:p>
    <w:p w14:paraId="605BA078" w14:textId="77777777" w:rsidR="00E31FFD" w:rsidRPr="00064723" w:rsidRDefault="00E31FFD" w:rsidP="00E31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3.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ab/>
        <w:t>Family wants help to change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 lifestyle behaviours</w:t>
      </w:r>
    </w:p>
    <w:p w14:paraId="3627F4D6" w14:textId="77777777" w:rsidR="00E31FFD" w:rsidRPr="00303D4B" w:rsidRDefault="00E31FFD" w:rsidP="00E31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303D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 </w:t>
      </w:r>
    </w:p>
    <w:p w14:paraId="1ED8227F" w14:textId="500A12A0" w:rsidR="00B95907" w:rsidRPr="00B95907" w:rsidRDefault="00B95907" w:rsidP="00B95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High priority health complications include (but not restricted to): Type 2 diabetes (and impaired glucose tolerance/’pre-diabetes’), Obstructive Sleep Apnoea, Benign Intracranial Hypertension and Physical Immobility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, </w:t>
      </w:r>
      <w:r w:rsidR="00636271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nd/or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 </w:t>
      </w:r>
      <w:r w:rsidR="002053F6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s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ignificant psychological distress related to living with obesity</w:t>
      </w:r>
      <w:r w:rsidR="00B877B0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Note: </w:t>
      </w:r>
      <w:r w:rsidR="002053F6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CYP 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presenting with significant risk </w:t>
      </w:r>
      <w:r w:rsidR="002053F6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of harm 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to themselves or others, or moderate-severe psychological concerns affecting multiple domains of daily living will be redirected to local mental health services</w:t>
      </w:r>
      <w:r w:rsidR="002053F6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.</w:t>
      </w:r>
    </w:p>
    <w:p w14:paraId="32FF34D1" w14:textId="77777777" w:rsidR="00B95907" w:rsidRPr="00B95907" w:rsidRDefault="00B95907" w:rsidP="00B95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</w:p>
    <w:p w14:paraId="039A0893" w14:textId="028AC8F6" w:rsidR="00B95907" w:rsidRDefault="00B95907" w:rsidP="00B95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We will </w:t>
      </w:r>
      <w:r w:rsidR="002053F6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also 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consider referrals for CYP with less immediate adverse health implications with very severe overweight (</w:t>
      </w:r>
      <w:r w:rsidR="002053F6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*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BMI </w:t>
      </w:r>
      <w:r w:rsidR="002053F6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&gt;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3.5 standard deviations above the mean)</w:t>
      </w:r>
      <w:r w:rsidR="002053F6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>,</w:t>
      </w:r>
      <w:r w:rsidRPr="00B95907"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  <w:t xml:space="preserve"> such as raised liver enzymes and 'fatty liver', features of polycystic ovary syndrome, high blood pressure, high cholesterol and triglycerides. </w:t>
      </w:r>
    </w:p>
    <w:p w14:paraId="70D5F9DE" w14:textId="77777777" w:rsidR="00E31FFD" w:rsidRDefault="00E31FFD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</w:pPr>
    </w:p>
    <w:p w14:paraId="084B4AE7" w14:textId="5B83F835" w:rsidR="008C615F" w:rsidRPr="00303D4B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</w:pPr>
      <w:r w:rsidRPr="00303D4B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*BMI centiles and standard deviation (z) scores can be calculated easily using the </w:t>
      </w:r>
      <w:r w:rsidR="002053F6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“</w:t>
      </w:r>
      <w:r w:rsidRPr="00303D4B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Growth Charts UK-WHO</w:t>
      </w:r>
      <w:r w:rsidR="002053F6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”</w:t>
      </w:r>
      <w:r w:rsidRPr="00303D4B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 App </w:t>
      </w:r>
      <w:r w:rsidR="00064723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(free </w:t>
      </w:r>
      <w:r w:rsidRPr="00303D4B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download</w:t>
      </w:r>
      <w:r w:rsidR="00064723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)</w:t>
      </w:r>
      <w:r w:rsidRPr="00303D4B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, or using </w:t>
      </w:r>
      <w:r w:rsidR="00064723" w:rsidRPr="00303D4B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RCPCH </w:t>
      </w:r>
      <w:r w:rsidRPr="00303D4B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growth charts</w:t>
      </w:r>
      <w:r w:rsidR="00064723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 at:</w:t>
      </w:r>
    </w:p>
    <w:p w14:paraId="0889FCFF" w14:textId="77777777" w:rsidR="00152F4A" w:rsidRPr="00064723" w:rsidRDefault="00AB104B" w:rsidP="00152F4A">
      <w:pPr>
        <w:pStyle w:val="xmsonormal"/>
        <w:shd w:val="clear" w:color="auto" w:fill="FFFFFF"/>
        <w:rPr>
          <w:rFonts w:ascii="Times New Roman" w:hAnsi="Times New Roman" w:cs="Times New Roman"/>
        </w:rPr>
      </w:pPr>
      <w:hyperlink r:id="rId7" w:history="1">
        <w:r w:rsidR="00152F4A" w:rsidRPr="00064723">
          <w:rPr>
            <w:rStyle w:val="Hyperlink"/>
            <w:rFonts w:ascii="Times New Roman" w:hAnsi="Times New Roman" w:cs="Times New Roman"/>
            <w:shd w:val="clear" w:color="auto" w:fill="FFFFFF"/>
          </w:rPr>
          <w:t>https://www.rcpch.ac.uk/sites/default/files/2018-03/boys_and_girls_bmi_chart.pdf</w:t>
        </w:r>
      </w:hyperlink>
    </w:p>
    <w:p w14:paraId="4B85441A" w14:textId="77777777" w:rsidR="008C615F" w:rsidRPr="00303D4B" w:rsidRDefault="008C615F" w:rsidP="0020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303D4B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 </w:t>
      </w:r>
    </w:p>
    <w:p w14:paraId="20362608" w14:textId="77777777" w:rsidR="005F58A7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</w:pPr>
      <w:r w:rsidRPr="00303D4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 xml:space="preserve">We are only able to accommodate </w:t>
      </w:r>
      <w:r w:rsidR="00B0390D" w:rsidRPr="00303D4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>10</w:t>
      </w:r>
      <w:r w:rsidRPr="00303D4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>0 patients at each site in our first year. Referrals will be triaged based on patient need</w:t>
      </w:r>
      <w:r w:rsidR="00221E78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 xml:space="preserve"> and</w:t>
      </w:r>
      <w:r w:rsidRPr="00303D4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 xml:space="preserve"> willingness to engage. </w:t>
      </w:r>
    </w:p>
    <w:p w14:paraId="52927E86" w14:textId="0D569BAE" w:rsidR="008C615F" w:rsidRPr="00303D4B" w:rsidRDefault="00636271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For CYP</w:t>
      </w:r>
      <w:r w:rsidR="008C615F" w:rsidRPr="00303D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who cannot be accommodated, advice for ongoing management will be provided to the referring paediatrician/GP,</w:t>
      </w:r>
      <w:r w:rsidR="008C615F" w:rsidRPr="00303D4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> </w:t>
      </w:r>
      <w:r w:rsidR="008C615F" w:rsidRPr="00303D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while awaiting the opportunity to accommodate such patients in future</w:t>
      </w:r>
      <w:r w:rsidR="006C38AD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.</w:t>
      </w:r>
      <w:r w:rsidR="008C615F" w:rsidRPr="00303D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We will also be setting up a network to support paediatricians and GPs in managing patients with obesity through sharing best practice guidelines and resources.</w:t>
      </w:r>
    </w:p>
    <w:p w14:paraId="590CB5CB" w14:textId="77777777" w:rsidR="008C615F" w:rsidRPr="00303D4B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303D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 </w:t>
      </w:r>
    </w:p>
    <w:p w14:paraId="57A701CA" w14:textId="77777777" w:rsidR="008C615F" w:rsidRPr="00303D4B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303D4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What does it involve?</w:t>
      </w:r>
    </w:p>
    <w:p w14:paraId="3CFC8271" w14:textId="1D2A9B23" w:rsidR="008C615F" w:rsidRPr="00303D4B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</w:pPr>
      <w:r w:rsidRPr="007F3435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Patients will be </w:t>
      </w:r>
      <w:r w:rsidR="00B30E27" w:rsidRPr="007F3435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assessed by a multi-disciplinary team and then offered </w:t>
      </w:r>
      <w:r w:rsidR="005B3272" w:rsidRPr="007F3435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with dietetic and or psychology specialists, with support medical, nursing, family and social work staff.</w:t>
      </w:r>
      <w:r w:rsidR="005B3272" w:rsidRPr="0066642E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="005B3272" w:rsidRPr="007F3435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They will initially be offered intensive support (e.g. 2 weekly appointments). The length of the treatment program will be individualised and time limited.</w:t>
      </w:r>
      <w:r w:rsidR="00B30E27" w:rsidRPr="007F3435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="003A715F" w:rsidRPr="007F3435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Follow-up sessions will be conducted remotely (by secure NHS video calls) where feasible.</w:t>
      </w:r>
    </w:p>
    <w:p w14:paraId="3E24FDA5" w14:textId="04F2F4DC" w:rsidR="008C615F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</w:p>
    <w:p w14:paraId="2C237F8E" w14:textId="50C69579" w:rsidR="008C615F" w:rsidRPr="00303D4B" w:rsidRDefault="008C6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303D4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 xml:space="preserve">How </w:t>
      </w:r>
      <w:r w:rsidR="008264A1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 xml:space="preserve">to </w:t>
      </w:r>
      <w:r w:rsidRPr="00303D4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bdr w:val="none" w:sz="0" w:space="0" w:color="auto" w:frame="1"/>
          <w:lang w:eastAsia="en-GB"/>
        </w:rPr>
        <w:t>refer a patient?</w:t>
      </w:r>
    </w:p>
    <w:p w14:paraId="7D4321D6" w14:textId="4BE93FBD" w:rsidR="00636271" w:rsidRDefault="003A7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</w:pPr>
      <w:bookmarkStart w:id="1" w:name="_Hlk101974923"/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P</w:t>
      </w:r>
      <w:r w:rsidR="008C615F" w:rsidRPr="00303D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lease </w:t>
      </w:r>
      <w:r w:rsidR="008C615F" w:rsidRPr="0063627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complete the</w:t>
      </w:r>
      <w:r w:rsidR="008C615F" w:rsidRPr="00303D4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="0063627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 xml:space="preserve">referral proforma </w:t>
      </w:r>
      <w:r w:rsidR="00A218C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bdr w:val="none" w:sz="0" w:space="0" w:color="auto" w:frame="1"/>
          <w:lang w:eastAsia="en-GB"/>
        </w:rPr>
        <w:t xml:space="preserve">below </w:t>
      </w:r>
      <w:r w:rsidR="008C615F" w:rsidRPr="00303D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and email to: </w:t>
      </w:r>
      <w:hyperlink r:id="rId8" w:history="1">
        <w:r w:rsidR="00152F4A" w:rsidRPr="00303D4B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eastAsia="en-GB"/>
          </w:rPr>
          <w:t>caron.leftley@nnuh.nhs.uk</w:t>
        </w:r>
      </w:hyperlink>
      <w:r w:rsidR="008C615F" w:rsidRPr="00303D4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en-GB"/>
        </w:rPr>
        <w:t> </w:t>
      </w:r>
      <w:r w:rsidR="008C615F" w:rsidRPr="00303D4B"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(for the </w:t>
      </w:r>
      <w:r w:rsidR="00152F4A" w:rsidRPr="00303D4B"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NNUH clinic</w:t>
      </w:r>
      <w:r w:rsidR="008C615F" w:rsidRPr="00303D4B"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)</w:t>
      </w:r>
      <w:r w:rsidR="0099299F"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r w:rsidR="0099299F" w:rsidRPr="0063627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or</w:t>
      </w:r>
      <w:r w:rsidR="0099299F"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hyperlink r:id="rId9" w:history="1">
        <w:r w:rsidR="0099299F" w:rsidRPr="003A715F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eastAsia="en-GB"/>
          </w:rPr>
          <w:t>weston@addenbrookes.nhs.uk</w:t>
        </w:r>
      </w:hyperlink>
      <w:r w:rsidR="0099299F"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 (for the Addenbrookes</w:t>
      </w:r>
      <w:r w:rsidR="00711891"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 clinic)</w:t>
      </w:r>
      <w:r w:rsidR="0099299F"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68E1318A" w14:textId="579EAC41" w:rsidR="008C615F" w:rsidRPr="00303D4B" w:rsidRDefault="003A715F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W</w:t>
      </w:r>
      <w:r w:rsidR="00152F4A" w:rsidRPr="003A715F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e are</w:t>
      </w:r>
      <w:r w:rsidR="008C615F" w:rsidRPr="003A715F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happy to answer any pre-referral queries.</w:t>
      </w:r>
    </w:p>
    <w:bookmarkEnd w:id="1"/>
    <w:p w14:paraId="3136E21C" w14:textId="77777777" w:rsidR="00636271" w:rsidRDefault="00636271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</w:pPr>
    </w:p>
    <w:p w14:paraId="22367BDD" w14:textId="0D186C26" w:rsidR="008C615F" w:rsidRPr="00303D4B" w:rsidRDefault="00636271" w:rsidP="008C6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lastRenderedPageBreak/>
        <w:t>Note</w:t>
      </w:r>
      <w:r w:rsid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s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:</w:t>
      </w:r>
      <w:r w:rsidR="008C615F" w:rsidRPr="00303D4B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 </w:t>
      </w:r>
    </w:p>
    <w:p w14:paraId="1F3A8303" w14:textId="4446EEEB" w:rsidR="008C615F" w:rsidRPr="008264A1" w:rsidRDefault="008C615F" w:rsidP="008264A1">
      <w:pPr>
        <w:pStyle w:val="ListParagraph"/>
        <w:numPr>
          <w:ilvl w:val="0"/>
          <w:numId w:val="11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Please </w:t>
      </w:r>
      <w:r w:rsidR="008264A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ensure 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the family are happy to be referred and </w:t>
      </w:r>
      <w:r w:rsidR="008264A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agree to MDT engagement to change lifestyle behaviours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.</w:t>
      </w:r>
    </w:p>
    <w:p w14:paraId="22C0C6A2" w14:textId="4D266A23" w:rsidR="008C615F" w:rsidRPr="008264A1" w:rsidRDefault="008264A1" w:rsidP="008264A1">
      <w:pPr>
        <w:pStyle w:val="ListParagraph"/>
        <w:numPr>
          <w:ilvl w:val="0"/>
          <w:numId w:val="11"/>
        </w:num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n-GB"/>
        </w:rPr>
      </w:pP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Inform</w:t>
      </w:r>
      <w:r w:rsidR="008C615F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that this is a pilot clinic 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and</w:t>
      </w:r>
      <w:r w:rsidR="008C615F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not all referrals 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may</w:t>
      </w:r>
      <w:r w:rsidR="008C615F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be accommodated at thi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s stage</w:t>
      </w:r>
      <w:r w:rsidR="008C615F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.</w:t>
      </w:r>
    </w:p>
    <w:p w14:paraId="5CE2A209" w14:textId="77777777" w:rsidR="008264A1" w:rsidRPr="008264A1" w:rsidRDefault="008264A1" w:rsidP="008264A1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</w:pP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M</w:t>
      </w:r>
      <w:r w:rsidR="0063627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any CYP live a significant distance from the two clinic sites, 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so </w:t>
      </w:r>
      <w:r w:rsidR="0063627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referred CYP should also be under the care of a paediatrician local to them. 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We </w:t>
      </w:r>
      <w:r w:rsidR="0063627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expect the local paediatric team will continue to support the 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CYP </w:t>
      </w:r>
      <w:r w:rsidR="0063627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and their family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, possibly by</w:t>
      </w:r>
      <w:r w:rsidR="0063627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 arranging local investigations, e.g. 24 hr blood pressure measurement and monitoring 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of </w:t>
      </w:r>
      <w:r w:rsidR="0063627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any treatments. </w:t>
      </w:r>
    </w:p>
    <w:p w14:paraId="5FCF2E18" w14:textId="2160EA60" w:rsidR="008C615F" w:rsidRPr="008264A1" w:rsidRDefault="008264A1" w:rsidP="008264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</w:pP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T</w:t>
      </w:r>
      <w:r w:rsidR="0063627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he referring or local paediatrician will remain responsible for safeguarding concerns with advice </w:t>
      </w:r>
      <w:r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 xml:space="preserve">and support </w:t>
      </w:r>
      <w:r w:rsidR="00636271" w:rsidRPr="008264A1">
        <w:rPr>
          <w:rFonts w:ascii="Times New Roman" w:eastAsia="Times New Roman" w:hAnsi="Times New Roman" w:cs="Times New Roman"/>
          <w:color w:val="323130"/>
          <w:sz w:val="24"/>
          <w:szCs w:val="24"/>
          <w:bdr w:val="none" w:sz="0" w:space="0" w:color="auto" w:frame="1"/>
          <w:lang w:eastAsia="en-GB"/>
        </w:rPr>
        <w:t>by the CEW team.</w:t>
      </w:r>
    </w:p>
    <w:p w14:paraId="549FCC4D" w14:textId="4E3F1FD5" w:rsidR="00A218CC" w:rsidRDefault="00A218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3F648A" w14:textId="77777777" w:rsidR="00A218CC" w:rsidRPr="00A218CC" w:rsidRDefault="00A218CC" w:rsidP="00A218CC">
      <w:pPr>
        <w:keepNext/>
        <w:rPr>
          <w:rFonts w:ascii="Times New Roman" w:hAnsi="Times New Roman" w:cs="Times New Roman"/>
          <w:bCs/>
          <w:sz w:val="24"/>
          <w:szCs w:val="24"/>
        </w:rPr>
      </w:pPr>
      <w:r w:rsidRPr="00A218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Referral Proforma: </w:t>
      </w:r>
      <w:r w:rsidRPr="00A218CC">
        <w:rPr>
          <w:rFonts w:ascii="Times New Roman" w:hAnsi="Times New Roman" w:cs="Times New Roman"/>
          <w:bCs/>
          <w:sz w:val="24"/>
          <w:szCs w:val="24"/>
        </w:rPr>
        <w:t xml:space="preserve">East of England Complications from Excess Weight (CEW) Clinics for Children (lay title: </w:t>
      </w:r>
      <w:r w:rsidRPr="00A218CC">
        <w:rPr>
          <w:rFonts w:ascii="Times New Roman" w:hAnsi="Times New Roman" w:cs="Times New Roman"/>
          <w:bCs/>
          <w:i/>
          <w:iCs/>
          <w:sz w:val="24"/>
          <w:szCs w:val="24"/>
        </w:rPr>
        <w:t>Healthy Futures Inspiring Change</w:t>
      </w:r>
      <w:r w:rsidRPr="00A218CC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83"/>
        <w:gridCol w:w="4684"/>
      </w:tblGrid>
      <w:tr w:rsidR="00A218CC" w:rsidRPr="00A218CC" w14:paraId="4D34481C" w14:textId="77777777" w:rsidTr="00A218C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DCA4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b/>
                <w:sz w:val="22"/>
                <w:szCs w:val="22"/>
              </w:rPr>
              <w:t xml:space="preserve">Demographic </w:t>
            </w:r>
          </w:p>
        </w:tc>
      </w:tr>
      <w:tr w:rsidR="00A218CC" w:rsidRPr="00A218CC" w14:paraId="7B6333D9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D6A" w14:textId="77777777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Name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424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A218CC" w:rsidRPr="00A218CC" w14:paraId="67745003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05D1" w14:textId="77777777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NHS number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1AC" w14:textId="77777777" w:rsidR="00A218CC" w:rsidRPr="00A218CC" w:rsidRDefault="00A218CC" w:rsidP="00AC5460">
            <w:pPr>
              <w:keepNext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218CC" w:rsidRPr="00A218CC" w14:paraId="5549041A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EF2" w14:textId="77777777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Age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ED6B" w14:textId="77777777" w:rsidR="00A218CC" w:rsidRPr="00A218CC" w:rsidRDefault="00A218CC" w:rsidP="00AC5460">
            <w:pPr>
              <w:keepNext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218CC" w:rsidRPr="00A218CC" w14:paraId="75A56CF0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384D" w14:textId="77777777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 xml:space="preserve">DOB (dd / mm / </w:t>
            </w:r>
            <w:proofErr w:type="spellStart"/>
            <w:r w:rsidRPr="00A218CC">
              <w:rPr>
                <w:rFonts w:eastAsia="Calibri"/>
                <w:sz w:val="22"/>
                <w:szCs w:val="22"/>
              </w:rPr>
              <w:t>yyyy</w:t>
            </w:r>
            <w:proofErr w:type="spellEnd"/>
            <w:r w:rsidRPr="00A218CC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087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A218CC" w:rsidRPr="00A218CC" w14:paraId="7665DE85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217B" w14:textId="77777777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Address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3E8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A218CC" w:rsidRPr="00A218CC" w14:paraId="72C861D0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7C18" w14:textId="4F10F659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</w:t>
            </w:r>
            <w:r w:rsidRPr="00A218CC">
              <w:rPr>
                <w:rFonts w:eastAsia="Calibri"/>
                <w:sz w:val="22"/>
                <w:szCs w:val="22"/>
              </w:rPr>
              <w:t>hone number(s) +/- email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E3A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A218CC" w:rsidRPr="00A218CC" w14:paraId="731F2043" w14:textId="77777777" w:rsidTr="00A218C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51FD" w14:textId="77777777" w:rsidR="00A218CC" w:rsidRPr="00A218CC" w:rsidRDefault="00A218CC" w:rsidP="00AC5460">
            <w:pPr>
              <w:keepNext/>
              <w:rPr>
                <w:rFonts w:eastAsia="Calibri"/>
                <w:b/>
                <w:sz w:val="22"/>
                <w:szCs w:val="22"/>
              </w:rPr>
            </w:pPr>
            <w:r w:rsidRPr="00A218CC">
              <w:rPr>
                <w:rFonts w:eastAsia="Calibri"/>
                <w:b/>
                <w:sz w:val="22"/>
                <w:szCs w:val="22"/>
              </w:rPr>
              <w:t>Measurements</w:t>
            </w:r>
          </w:p>
        </w:tc>
      </w:tr>
      <w:tr w:rsidR="00A218CC" w:rsidRPr="00A218CC" w14:paraId="4C90027C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A3E1" w14:textId="77777777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Height (cm)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3D5" w14:textId="77777777" w:rsidR="00A218CC" w:rsidRPr="00A218CC" w:rsidRDefault="00A218CC" w:rsidP="00AC5460">
            <w:pPr>
              <w:keepNext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218CC" w:rsidRPr="00A218CC" w14:paraId="5CA757C0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1A0D" w14:textId="77777777" w:rsidR="00A218CC" w:rsidRPr="00A218CC" w:rsidRDefault="00A218CC" w:rsidP="00AC5460">
            <w:pPr>
              <w:keepNext/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-     Height centile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7BF" w14:textId="77777777" w:rsidR="00A218CC" w:rsidRPr="00A218CC" w:rsidRDefault="00A218CC" w:rsidP="00AC5460">
            <w:pPr>
              <w:keepNext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218CC" w:rsidRPr="00A218CC" w14:paraId="16C6C3AF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57E3" w14:textId="77777777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Weight (kg)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1F6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A218CC" w:rsidRPr="00A218CC" w14:paraId="2DF14738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D7D4" w14:textId="77777777" w:rsidR="00A218CC" w:rsidRPr="00A218CC" w:rsidRDefault="00A218CC" w:rsidP="00AC5460">
            <w:pPr>
              <w:keepNext/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-     Weight centile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640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A218CC" w:rsidRPr="00A218CC" w14:paraId="329F0057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ED63" w14:textId="77777777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BMI (kg/m</w:t>
            </w:r>
            <w:r w:rsidRPr="00A218CC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A218CC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1BA" w14:textId="77777777" w:rsidR="00A218CC" w:rsidRPr="00A218CC" w:rsidRDefault="00A218CC" w:rsidP="00AC5460">
            <w:pPr>
              <w:keepNext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A218CC" w:rsidRPr="00A218CC" w14:paraId="39B0033A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E64B" w14:textId="77777777" w:rsidR="00A218CC" w:rsidRPr="00A218CC" w:rsidRDefault="00A218CC" w:rsidP="00AC5460">
            <w:pPr>
              <w:keepNext/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-     BMI SDS / z-score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92B" w14:textId="77777777" w:rsidR="00A218CC" w:rsidRPr="00A218CC" w:rsidRDefault="00A218CC" w:rsidP="00AC5460">
            <w:pPr>
              <w:keepNext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218CC" w:rsidRPr="00A218CC" w14:paraId="4FD295E1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A49C" w14:textId="3233B8AD" w:rsidR="00A218CC" w:rsidRPr="00A218CC" w:rsidRDefault="00A218CC" w:rsidP="00A218CC">
            <w:pPr>
              <w:keepNext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Date of measurement (dd/mm/</w:t>
            </w:r>
            <w:proofErr w:type="spellStart"/>
            <w:r w:rsidRPr="00A218CC">
              <w:rPr>
                <w:rFonts w:eastAsia="Calibri"/>
                <w:sz w:val="22"/>
                <w:szCs w:val="22"/>
              </w:rPr>
              <w:t>yy</w:t>
            </w:r>
            <w:proofErr w:type="spellEnd"/>
            <w:r w:rsidRPr="00A218CC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4AA" w14:textId="77777777" w:rsidR="00A218CC" w:rsidRPr="00A218CC" w:rsidRDefault="00A218CC" w:rsidP="00AC5460">
            <w:pPr>
              <w:keepNext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C4222" w:rsidRPr="00A218CC" w14:paraId="17A53D8A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869" w14:textId="7D30EBAD" w:rsidR="00EC4222" w:rsidRPr="00A218CC" w:rsidRDefault="00EC4222" w:rsidP="00A218CC">
            <w:pPr>
              <w:keepNext/>
              <w:numPr>
                <w:ilvl w:val="0"/>
                <w:numId w:val="12"/>
              </w:numPr>
              <w:spacing w:line="25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BP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7A6" w14:textId="77777777" w:rsidR="00EC4222" w:rsidRPr="00A218CC" w:rsidRDefault="00EC4222" w:rsidP="00AC5460">
            <w:pPr>
              <w:keepNext/>
              <w:rPr>
                <w:rFonts w:eastAsia="Calibri"/>
                <w:b/>
              </w:rPr>
            </w:pPr>
          </w:p>
        </w:tc>
      </w:tr>
      <w:tr w:rsidR="00A218CC" w:rsidRPr="00A218CC" w14:paraId="04202D90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473" w14:textId="0A5D192A" w:rsidR="00A218CC" w:rsidRPr="00A218CC" w:rsidRDefault="00A218CC" w:rsidP="00AC5460">
            <w:pPr>
              <w:keepNext/>
              <w:rPr>
                <w:rFonts w:eastAsia="Calibri"/>
                <w:b/>
                <w:bCs/>
                <w:sz w:val="22"/>
                <w:szCs w:val="22"/>
              </w:rPr>
            </w:pPr>
            <w:r w:rsidRPr="00A218CC">
              <w:rPr>
                <w:rFonts w:eastAsia="Calibri"/>
                <w:b/>
                <w:bCs/>
                <w:sz w:val="22"/>
                <w:szCs w:val="22"/>
              </w:rPr>
              <w:t xml:space="preserve">Complication(s) of </w:t>
            </w:r>
            <w:r>
              <w:rPr>
                <w:rFonts w:eastAsia="Calibri"/>
                <w:b/>
                <w:bCs/>
                <w:sz w:val="22"/>
                <w:szCs w:val="22"/>
              </w:rPr>
              <w:t>e</w:t>
            </w:r>
            <w:r w:rsidRPr="00A218CC">
              <w:rPr>
                <w:rFonts w:eastAsia="Calibri"/>
                <w:b/>
                <w:bCs/>
                <w:sz w:val="22"/>
                <w:szCs w:val="22"/>
              </w:rPr>
              <w:t xml:space="preserve">xcess </w:t>
            </w:r>
            <w:r>
              <w:rPr>
                <w:rFonts w:eastAsia="Calibri"/>
                <w:b/>
                <w:bCs/>
                <w:sz w:val="22"/>
                <w:szCs w:val="22"/>
              </w:rPr>
              <w:t>w</w:t>
            </w:r>
            <w:r w:rsidRPr="00A218CC">
              <w:rPr>
                <w:rFonts w:eastAsia="Calibri"/>
                <w:b/>
                <w:bCs/>
                <w:sz w:val="22"/>
                <w:szCs w:val="22"/>
              </w:rPr>
              <w:t xml:space="preserve">eight </w:t>
            </w:r>
          </w:p>
          <w:p w14:paraId="34338635" w14:textId="77777777" w:rsidR="00A218CC" w:rsidRPr="00A218CC" w:rsidRDefault="00A218CC" w:rsidP="00AC5460">
            <w:pPr>
              <w:keepNext/>
              <w:rPr>
                <w:rFonts w:eastAsia="Calibri"/>
                <w:b/>
                <w:bCs/>
                <w:sz w:val="22"/>
                <w:szCs w:val="22"/>
              </w:rPr>
            </w:pPr>
            <w:proofErr w:type="gramStart"/>
            <w:r w:rsidRPr="00A218CC">
              <w:rPr>
                <w:rFonts w:eastAsia="Calibri"/>
                <w:sz w:val="22"/>
                <w:szCs w:val="22"/>
              </w:rPr>
              <w:t>e.g.</w:t>
            </w:r>
            <w:proofErr w:type="gramEnd"/>
            <w:r w:rsidRPr="00A218CC">
              <w:rPr>
                <w:rFonts w:eastAsia="Calibri"/>
                <w:sz w:val="22"/>
                <w:szCs w:val="22"/>
              </w:rPr>
              <w:t xml:space="preserve"> IIH/BIH, OSA, Impaired glucose tolerance, SUFE or significantly reduced mobility, significant psychological distress, NAFLD. </w:t>
            </w:r>
            <w:r w:rsidRPr="00A218CC">
              <w:rPr>
                <w:rFonts w:eastAsia="Calibri"/>
                <w:b/>
                <w:bCs/>
                <w:sz w:val="22"/>
                <w:szCs w:val="22"/>
              </w:rPr>
              <w:t>Please provide details to support the diagnosis or suspicion.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E58" w14:textId="77777777" w:rsidR="00A218CC" w:rsidRPr="00A218CC" w:rsidRDefault="00A218CC" w:rsidP="00AC5460">
            <w:pPr>
              <w:keepNext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218CC" w:rsidRPr="00A218CC" w14:paraId="745E629F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ADC0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b/>
                <w:bCs/>
                <w:sz w:val="22"/>
                <w:szCs w:val="22"/>
              </w:rPr>
              <w:t>Relevant other history</w:t>
            </w:r>
            <w:r w:rsidRPr="00A218CC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09680AF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e.g. developmental/learning/behavioural difficulties, social history, other illness or condition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7C8F" w14:textId="77777777" w:rsidR="00A218CC" w:rsidRPr="00A218CC" w:rsidRDefault="00A218CC" w:rsidP="00AC5460">
            <w:pPr>
              <w:keepNext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218CC" w:rsidRPr="00A218CC" w14:paraId="03B38FAD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6472" w14:textId="77777777" w:rsidR="00A218CC" w:rsidRPr="00A218CC" w:rsidRDefault="00A218CC" w:rsidP="00AC5460">
            <w:pPr>
              <w:keepNext/>
              <w:rPr>
                <w:rFonts w:eastAsia="Calibri"/>
                <w:b/>
                <w:bCs/>
                <w:sz w:val="22"/>
                <w:szCs w:val="22"/>
              </w:rPr>
            </w:pPr>
            <w:r w:rsidRPr="00A218CC">
              <w:rPr>
                <w:rFonts w:eastAsia="Calibri"/>
                <w:b/>
                <w:bCs/>
                <w:sz w:val="22"/>
                <w:szCs w:val="22"/>
              </w:rPr>
              <w:t xml:space="preserve">Previous weight management </w:t>
            </w:r>
          </w:p>
          <w:p w14:paraId="17EC5ED4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e.g. community weight management (</w:t>
            </w:r>
            <w:proofErr w:type="spellStart"/>
            <w:r w:rsidRPr="00A218CC">
              <w:rPr>
                <w:rFonts w:eastAsia="Calibri"/>
                <w:sz w:val="22"/>
                <w:szCs w:val="22"/>
              </w:rPr>
              <w:t>OneNorfolk</w:t>
            </w:r>
            <w:proofErr w:type="spellEnd"/>
            <w:r w:rsidRPr="00A218CC">
              <w:rPr>
                <w:rFonts w:eastAsia="Calibri"/>
                <w:sz w:val="22"/>
                <w:szCs w:val="22"/>
              </w:rPr>
              <w:t xml:space="preserve"> etc.), dietetic assessment/support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B6B1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A218CC" w:rsidRPr="00A218CC" w14:paraId="2323A26F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E7E" w14:textId="77777777" w:rsidR="00A218CC" w:rsidRPr="00A218CC" w:rsidRDefault="00A218CC" w:rsidP="00AC5460">
            <w:pPr>
              <w:keepNext/>
              <w:rPr>
                <w:rFonts w:eastAsia="Calibri"/>
                <w:b/>
                <w:bCs/>
                <w:sz w:val="22"/>
                <w:szCs w:val="22"/>
              </w:rPr>
            </w:pPr>
            <w:r w:rsidRPr="00A218CC">
              <w:rPr>
                <w:rFonts w:eastAsia="Calibri"/>
                <w:b/>
                <w:bCs/>
                <w:sz w:val="22"/>
                <w:szCs w:val="22"/>
              </w:rPr>
              <w:t>Safeguarding concern</w:t>
            </w:r>
          </w:p>
          <w:p w14:paraId="5F1BF58E" w14:textId="77777777" w:rsidR="00A218CC" w:rsidRPr="00A218CC" w:rsidRDefault="00A218CC" w:rsidP="00AC5460">
            <w:pPr>
              <w:keepNext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1C0" w14:textId="77777777" w:rsidR="00A218CC" w:rsidRPr="00A218CC" w:rsidRDefault="00A218CC" w:rsidP="00AC5460">
            <w:pPr>
              <w:keepNext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A218CC" w:rsidRPr="00A218CC" w14:paraId="7DEAB25D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5471" w14:textId="77777777" w:rsidR="00A218CC" w:rsidRPr="00A218CC" w:rsidRDefault="00A218CC" w:rsidP="00AC5460">
            <w:pPr>
              <w:keepNext/>
              <w:rPr>
                <w:rFonts w:eastAsia="Calibri"/>
                <w:b/>
                <w:bCs/>
                <w:sz w:val="22"/>
                <w:szCs w:val="22"/>
              </w:rPr>
            </w:pPr>
            <w:r w:rsidRPr="00A218CC">
              <w:rPr>
                <w:rFonts w:eastAsia="Calibri"/>
                <w:b/>
                <w:bCs/>
                <w:sz w:val="22"/>
                <w:szCs w:val="22"/>
              </w:rPr>
              <w:t xml:space="preserve">Child and parents </w:t>
            </w:r>
            <w:bookmarkStart w:id="2" w:name="_Hlk102066103"/>
            <w:r w:rsidRPr="00A218CC">
              <w:rPr>
                <w:rFonts w:eastAsia="Calibri"/>
                <w:b/>
                <w:bCs/>
                <w:sz w:val="22"/>
                <w:szCs w:val="22"/>
              </w:rPr>
              <w:t>agree to MDT engagement to change lifestyle behaviours</w:t>
            </w:r>
            <w:bookmarkEnd w:id="2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3DE8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A218CC" w:rsidRPr="00A218CC" w14:paraId="00BBB8B1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85C2" w14:textId="5CD97176" w:rsidR="00A218CC" w:rsidRPr="00A218CC" w:rsidRDefault="00A218CC" w:rsidP="00AC5460">
            <w:pPr>
              <w:keepNext/>
              <w:rPr>
                <w:rFonts w:eastAsia="Calibri"/>
                <w:b/>
                <w:sz w:val="22"/>
                <w:szCs w:val="22"/>
              </w:rPr>
            </w:pPr>
            <w:r w:rsidRPr="00A218CC">
              <w:rPr>
                <w:rFonts w:eastAsia="Calibri"/>
                <w:b/>
                <w:sz w:val="22"/>
                <w:szCs w:val="22"/>
              </w:rPr>
              <w:t>Previous investigations</w:t>
            </w:r>
            <w:r w:rsidR="008466CE">
              <w:rPr>
                <w:rFonts w:eastAsia="Calibri"/>
                <w:b/>
                <w:sz w:val="22"/>
                <w:szCs w:val="22"/>
              </w:rPr>
              <w:t xml:space="preserve"> (please enclose copy)</w:t>
            </w:r>
          </w:p>
          <w:p w14:paraId="611D3393" w14:textId="77777777" w:rsidR="00A218CC" w:rsidRPr="00A218CC" w:rsidRDefault="00A218CC" w:rsidP="00AC5460">
            <w:pPr>
              <w:keepNext/>
              <w:rPr>
                <w:rFonts w:eastAsia="Calibri"/>
                <w:bCs/>
                <w:sz w:val="22"/>
                <w:szCs w:val="22"/>
              </w:rPr>
            </w:pPr>
            <w:r w:rsidRPr="00A218CC">
              <w:rPr>
                <w:rFonts w:eastAsia="Calibri"/>
                <w:bCs/>
                <w:sz w:val="22"/>
                <w:szCs w:val="22"/>
              </w:rPr>
              <w:t>e.g. TFT, HbA1c, LFT, other relevant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6EE9" w14:textId="77777777" w:rsidR="00A218CC" w:rsidRPr="00A218CC" w:rsidRDefault="00A218CC" w:rsidP="00AC5460">
            <w:pPr>
              <w:spacing w:after="160" w:line="256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218CC" w:rsidRPr="00A218CC" w14:paraId="51C30D4A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BD3" w14:textId="77777777" w:rsidR="00A218CC" w:rsidRPr="00A218CC" w:rsidRDefault="00A218CC" w:rsidP="00AC5460">
            <w:pPr>
              <w:keepNext/>
              <w:rPr>
                <w:rFonts w:eastAsia="Calibri"/>
                <w:b/>
                <w:bCs/>
                <w:sz w:val="22"/>
                <w:szCs w:val="22"/>
              </w:rPr>
            </w:pPr>
            <w:r w:rsidRPr="00A218CC">
              <w:rPr>
                <w:rFonts w:eastAsia="Calibri"/>
                <w:b/>
                <w:bCs/>
                <w:sz w:val="22"/>
                <w:szCs w:val="22"/>
              </w:rPr>
              <w:t xml:space="preserve">Local responsible paediatrician </w:t>
            </w:r>
          </w:p>
          <w:p w14:paraId="39D196DC" w14:textId="77777777" w:rsidR="00A218CC" w:rsidRPr="00A218CC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and other key professionals involved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69F" w14:textId="77777777" w:rsidR="00A218CC" w:rsidRPr="00A218CC" w:rsidRDefault="00A218CC" w:rsidP="00AC5460">
            <w:pPr>
              <w:keepNext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218CC" w:rsidRPr="00A218CC" w14:paraId="5E8B3EE1" w14:textId="77777777" w:rsidTr="00A218CC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0BF" w14:textId="7161E7B8" w:rsidR="002C3F4A" w:rsidRDefault="00A218CC" w:rsidP="00AC5460">
            <w:pPr>
              <w:keepNext/>
              <w:rPr>
                <w:rFonts w:eastAsia="Calibri"/>
                <w:sz w:val="22"/>
                <w:szCs w:val="22"/>
              </w:rPr>
            </w:pPr>
            <w:r w:rsidRPr="00A218CC">
              <w:rPr>
                <w:rFonts w:eastAsia="Calibri"/>
                <w:b/>
                <w:bCs/>
                <w:sz w:val="22"/>
                <w:szCs w:val="22"/>
              </w:rPr>
              <w:t>Referrer</w:t>
            </w:r>
            <w:r w:rsidRPr="00A218CC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2E1AD52" w14:textId="1A19F5BA" w:rsidR="00A218CC" w:rsidRPr="00A218CC" w:rsidRDefault="00A218CC" w:rsidP="00AC5460">
            <w:pPr>
              <w:keepNext/>
              <w:rPr>
                <w:rFonts w:eastAsia="Calibri"/>
                <w:b/>
                <w:bCs/>
                <w:sz w:val="22"/>
                <w:szCs w:val="22"/>
              </w:rPr>
            </w:pPr>
            <w:r w:rsidRPr="00A218CC">
              <w:rPr>
                <w:rFonts w:eastAsia="Calibri"/>
                <w:sz w:val="22"/>
                <w:szCs w:val="22"/>
              </w:rPr>
              <w:t>Name, Job Title, Trust/Practice and NHS email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9AB" w14:textId="77777777" w:rsidR="00A218CC" w:rsidRPr="00A218CC" w:rsidRDefault="00A218CC" w:rsidP="00AC5460">
            <w:pPr>
              <w:keepNext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EF81DF3" w14:textId="77777777" w:rsidR="00A218CC" w:rsidRPr="00A218CC" w:rsidRDefault="00A218CC" w:rsidP="00A218CC">
      <w:pPr>
        <w:keepNext/>
        <w:rPr>
          <w:rFonts w:ascii="Times New Roman" w:hAnsi="Times New Roman" w:cs="Times New Roman"/>
          <w:b/>
        </w:rPr>
      </w:pPr>
    </w:p>
    <w:p w14:paraId="2FA1AF72" w14:textId="77777777" w:rsidR="00A218CC" w:rsidRPr="00A218CC" w:rsidRDefault="00A218CC" w:rsidP="00A218CC">
      <w:pPr>
        <w:keepNext/>
        <w:rPr>
          <w:rFonts w:ascii="Times New Roman" w:hAnsi="Times New Roman" w:cs="Times New Roman"/>
          <w:bCs/>
          <w:sz w:val="24"/>
          <w:szCs w:val="24"/>
        </w:rPr>
      </w:pPr>
      <w:r w:rsidRPr="00A218CC">
        <w:rPr>
          <w:rFonts w:ascii="Times New Roman" w:hAnsi="Times New Roman" w:cs="Times New Roman"/>
          <w:bCs/>
          <w:sz w:val="24"/>
          <w:szCs w:val="24"/>
        </w:rPr>
        <w:t>Please email this completed form to: </w:t>
      </w:r>
      <w:hyperlink r:id="rId10" w:history="1">
        <w:r w:rsidRPr="00A218CC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caron.leftley@nnuh.nhs.uk</w:t>
        </w:r>
      </w:hyperlink>
      <w:r w:rsidRPr="00A218CC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A218CC">
        <w:rPr>
          <w:rFonts w:ascii="Times New Roman" w:hAnsi="Times New Roman" w:cs="Times New Roman"/>
          <w:bCs/>
          <w:sz w:val="24"/>
          <w:szCs w:val="24"/>
        </w:rPr>
        <w:t xml:space="preserve">(for the NNUH-based MDT) </w:t>
      </w:r>
      <w:r w:rsidRPr="00A218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or </w:t>
      </w:r>
      <w:hyperlink r:id="rId11" w:history="1">
        <w:r w:rsidRPr="00A218CC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weston@addenbrookes.nhs.uk</w:t>
        </w:r>
      </w:hyperlink>
      <w:r w:rsidRPr="00A218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218CC">
        <w:rPr>
          <w:rFonts w:ascii="Times New Roman" w:hAnsi="Times New Roman" w:cs="Times New Roman"/>
          <w:bCs/>
          <w:sz w:val="24"/>
          <w:szCs w:val="24"/>
        </w:rPr>
        <w:t>(for the Addenbrookes-based MDT).</w:t>
      </w:r>
    </w:p>
    <w:p w14:paraId="68D47CC8" w14:textId="77777777" w:rsidR="00A218CC" w:rsidRPr="00253959" w:rsidRDefault="00A218CC" w:rsidP="00A218CC">
      <w:pPr>
        <w:keepNext/>
        <w:rPr>
          <w:rFonts w:ascii="Times New Roman" w:hAnsi="Times New Roman" w:cs="Times New Roman"/>
          <w:b/>
        </w:rPr>
      </w:pPr>
    </w:p>
    <w:p w14:paraId="66B516FA" w14:textId="77777777" w:rsidR="00012CF8" w:rsidRPr="00303D4B" w:rsidRDefault="00012CF8">
      <w:pPr>
        <w:rPr>
          <w:rFonts w:ascii="Times New Roman" w:hAnsi="Times New Roman" w:cs="Times New Roman"/>
        </w:rPr>
      </w:pPr>
    </w:p>
    <w:sectPr w:rsidR="00012CF8" w:rsidRPr="00303D4B" w:rsidSect="00A92ED7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1A23" w14:textId="77777777" w:rsidR="000F77E8" w:rsidRDefault="000F77E8" w:rsidP="002C3F4A">
      <w:pPr>
        <w:spacing w:after="0" w:line="240" w:lineRule="auto"/>
      </w:pPr>
      <w:r>
        <w:separator/>
      </w:r>
    </w:p>
  </w:endnote>
  <w:endnote w:type="continuationSeparator" w:id="0">
    <w:p w14:paraId="4BDC69D1" w14:textId="77777777" w:rsidR="000F77E8" w:rsidRDefault="000F77E8" w:rsidP="002C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9FF2" w14:textId="77777777" w:rsidR="000F77E8" w:rsidRDefault="000F77E8" w:rsidP="002C3F4A">
      <w:pPr>
        <w:spacing w:after="0" w:line="240" w:lineRule="auto"/>
      </w:pPr>
      <w:r>
        <w:separator/>
      </w:r>
    </w:p>
  </w:footnote>
  <w:footnote w:type="continuationSeparator" w:id="0">
    <w:p w14:paraId="4DBA2610" w14:textId="77777777" w:rsidR="000F77E8" w:rsidRDefault="000F77E8" w:rsidP="002C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A6EA" w14:textId="72E8A880" w:rsidR="002C3F4A" w:rsidRPr="002C3F4A" w:rsidRDefault="002C3F4A">
    <w:pPr>
      <w:pStyle w:val="Header"/>
      <w:rPr>
        <w:rFonts w:ascii="Times New Roman" w:hAnsi="Times New Roman" w:cs="Times New Roman"/>
      </w:rPr>
    </w:pPr>
    <w:r w:rsidRPr="002C3F4A">
      <w:rPr>
        <w:rFonts w:ascii="Times New Roman" w:hAnsi="Times New Roman" w:cs="Times New Roman"/>
      </w:rPr>
      <w:t>East of England CEW Referrals. Version 1.0 April 2022</w:t>
    </w:r>
  </w:p>
  <w:p w14:paraId="06818FB7" w14:textId="77777777" w:rsidR="002C3F4A" w:rsidRDefault="002C3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AA5"/>
    <w:multiLevelType w:val="hybridMultilevel"/>
    <w:tmpl w:val="B276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C24"/>
    <w:multiLevelType w:val="multilevel"/>
    <w:tmpl w:val="24A8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83E71"/>
    <w:multiLevelType w:val="hybridMultilevel"/>
    <w:tmpl w:val="563A78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C044C"/>
    <w:multiLevelType w:val="hybridMultilevel"/>
    <w:tmpl w:val="FCE458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957647"/>
    <w:multiLevelType w:val="hybridMultilevel"/>
    <w:tmpl w:val="A2BCB2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A96ECE"/>
    <w:multiLevelType w:val="hybridMultilevel"/>
    <w:tmpl w:val="270A3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F94130"/>
    <w:multiLevelType w:val="multilevel"/>
    <w:tmpl w:val="139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DA551D"/>
    <w:multiLevelType w:val="multilevel"/>
    <w:tmpl w:val="F1B8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301175"/>
    <w:multiLevelType w:val="multilevel"/>
    <w:tmpl w:val="ABFA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914371"/>
    <w:multiLevelType w:val="hybridMultilevel"/>
    <w:tmpl w:val="80FE00EE"/>
    <w:lvl w:ilvl="0" w:tplc="017C35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0C64"/>
    <w:multiLevelType w:val="hybridMultilevel"/>
    <w:tmpl w:val="15BE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61E40"/>
    <w:multiLevelType w:val="multilevel"/>
    <w:tmpl w:val="50C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5F"/>
    <w:rsid w:val="00012CF8"/>
    <w:rsid w:val="00064723"/>
    <w:rsid w:val="000D55B8"/>
    <w:rsid w:val="000F77E8"/>
    <w:rsid w:val="00117FB9"/>
    <w:rsid w:val="00152F4A"/>
    <w:rsid w:val="001C0F5F"/>
    <w:rsid w:val="002053F6"/>
    <w:rsid w:val="00221E78"/>
    <w:rsid w:val="002A1C1F"/>
    <w:rsid w:val="002A1C42"/>
    <w:rsid w:val="002C3F4A"/>
    <w:rsid w:val="00303D4B"/>
    <w:rsid w:val="003A715F"/>
    <w:rsid w:val="00432CE2"/>
    <w:rsid w:val="0054431E"/>
    <w:rsid w:val="005B3272"/>
    <w:rsid w:val="005F58A7"/>
    <w:rsid w:val="00612229"/>
    <w:rsid w:val="00636271"/>
    <w:rsid w:val="00655869"/>
    <w:rsid w:val="0066642E"/>
    <w:rsid w:val="006C38AD"/>
    <w:rsid w:val="00711891"/>
    <w:rsid w:val="00766D94"/>
    <w:rsid w:val="007967C1"/>
    <w:rsid w:val="007A2007"/>
    <w:rsid w:val="007F3435"/>
    <w:rsid w:val="008264A1"/>
    <w:rsid w:val="00834214"/>
    <w:rsid w:val="008466CE"/>
    <w:rsid w:val="0084773A"/>
    <w:rsid w:val="008C615F"/>
    <w:rsid w:val="009465E5"/>
    <w:rsid w:val="00973D8D"/>
    <w:rsid w:val="0099299F"/>
    <w:rsid w:val="00A218CC"/>
    <w:rsid w:val="00A92ED7"/>
    <w:rsid w:val="00AB104B"/>
    <w:rsid w:val="00AD79C4"/>
    <w:rsid w:val="00B0390D"/>
    <w:rsid w:val="00B15EBC"/>
    <w:rsid w:val="00B30E27"/>
    <w:rsid w:val="00B877B0"/>
    <w:rsid w:val="00B95907"/>
    <w:rsid w:val="00BD5E36"/>
    <w:rsid w:val="00C06D8F"/>
    <w:rsid w:val="00DD19A9"/>
    <w:rsid w:val="00E17A1B"/>
    <w:rsid w:val="00E31FFD"/>
    <w:rsid w:val="00E62FC9"/>
    <w:rsid w:val="00E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1A07"/>
  <w15:chartTrackingRefBased/>
  <w15:docId w15:val="{66E9F3EB-40A9-4398-89F4-6B197974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90D"/>
    <w:rPr>
      <w:color w:val="0000FF"/>
      <w:u w:val="single"/>
    </w:rPr>
  </w:style>
  <w:style w:type="paragraph" w:customStyle="1" w:styleId="xmsonormal">
    <w:name w:val="x_msonormal"/>
    <w:basedOn w:val="Normal"/>
    <w:rsid w:val="00B0390D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152F4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F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7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9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9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9C4"/>
    <w:rPr>
      <w:b/>
      <w:bCs/>
      <w:sz w:val="20"/>
      <w:szCs w:val="20"/>
    </w:rPr>
  </w:style>
  <w:style w:type="table" w:styleId="TableGrid">
    <w:name w:val="Table Grid"/>
    <w:basedOn w:val="TableNormal"/>
    <w:rsid w:val="00A21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3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F4A"/>
  </w:style>
  <w:style w:type="paragraph" w:styleId="Footer">
    <w:name w:val="footer"/>
    <w:basedOn w:val="Normal"/>
    <w:link w:val="FooterChar"/>
    <w:uiPriority w:val="99"/>
    <w:unhideWhenUsed/>
    <w:rsid w:val="002C3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F4A"/>
  </w:style>
  <w:style w:type="paragraph" w:styleId="BalloonText">
    <w:name w:val="Balloon Text"/>
    <w:basedOn w:val="Normal"/>
    <w:link w:val="BalloonTextChar"/>
    <w:uiPriority w:val="99"/>
    <w:semiHidden/>
    <w:unhideWhenUsed/>
    <w:rsid w:val="00666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n.leftley@nnuh.nhs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cpch.ac.uk/sites/default/files/2018-03/boys_and_girls_bmi_chart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eston@addenbrookes.nhs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ron.leftley@nnuh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ston@addenbrookes.nhs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Bursell</dc:creator>
  <cp:keywords/>
  <dc:description/>
  <cp:lastModifiedBy>Mandip Kaur Sohan</cp:lastModifiedBy>
  <cp:revision>4</cp:revision>
  <dcterms:created xsi:type="dcterms:W3CDTF">2022-05-11T15:05:00Z</dcterms:created>
  <dcterms:modified xsi:type="dcterms:W3CDTF">2022-05-20T14:27:00Z</dcterms:modified>
</cp:coreProperties>
</file>